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华文中宋" w:eastAsia="仿宋_GB2312"/>
          <w:sz w:val="32"/>
          <w:szCs w:val="32"/>
        </w:rPr>
      </w:pPr>
      <w:r>
        <w:rPr>
          <w:rFonts w:hint="eastAsia" w:ascii="仿宋_GB2312" w:hAnsi="华文中宋" w:eastAsia="仿宋_GB2312"/>
          <w:sz w:val="32"/>
          <w:szCs w:val="32"/>
        </w:rPr>
        <w:t>凉山矿业拉拉公司</w:t>
      </w:r>
    </w:p>
    <w:p>
      <w:pPr>
        <w:jc w:val="center"/>
        <w:rPr>
          <w:rFonts w:hint="eastAsia" w:ascii="华文中宋" w:hAnsi="华文中宋" w:eastAsia="华文中宋" w:cs="华文中宋"/>
          <w:sz w:val="36"/>
          <w:szCs w:val="36"/>
        </w:rPr>
      </w:pPr>
    </w:p>
    <w:p>
      <w:pPr>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改进浮选技术  降低生产能耗</w:t>
      </w:r>
    </w:p>
    <w:p>
      <w:pPr>
        <w:ind w:firstLine="640" w:firstLineChars="200"/>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一、简介</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拉拉铜矿是我国著名的大型富铜矿床，矿床矿石除主要的铜金属外，还伴生有钴、钼、铁、金、银、硫有益组份及其稀土元素等。自1958年建设以来，先后经过多次改扩建，现已成为采选规模5000t/d的现代化矿山企业。为保证拉拉公司的长远持续发展，实现节能降耗，缓解人力资源不足等问题。综合考虑凉山矿业股份有限公司提出的生产运行和选矿能力改造思路，综合考虑流程改造的可行性探索、设备能力核算、成本预算以及生产场地空间等等因素，利用现有1500t/d选矿生产系统中的磨矿处理能力，将磨矿作业产品直接并列至3500t/d浮选系统，停用1500t/d整个浮选系统，利用3500t/d系统闲置的铜钴混合粗选、精选、分离作业的浮选设备进行改造，达到5000t/d的处理能力，集中生产集中管理，淘汰落后产能，减少固体废弃物产生，降低生产能耗。</w:t>
      </w:r>
    </w:p>
    <w:p>
      <w:pPr>
        <w:ind w:firstLine="640" w:firstLineChars="200"/>
        <w:rPr>
          <w:rFonts w:ascii="黑体" w:hAnsi="黑体" w:eastAsia="黑体"/>
          <w:sz w:val="32"/>
          <w:szCs w:val="32"/>
        </w:rPr>
      </w:pPr>
      <w:r>
        <w:rPr>
          <w:rFonts w:hint="eastAsia" w:ascii="黑体" w:hAnsi="黑体" w:eastAsia="黑体"/>
          <w:sz w:val="32"/>
          <w:szCs w:val="32"/>
        </w:rPr>
        <w:t>二、背景</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（一）利益相关方的期望需求</w:t>
      </w:r>
    </w:p>
    <w:p>
      <w:pPr>
        <w:ind w:firstLine="640" w:firstLineChars="200"/>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投资者、员工等利益相关门希望通过优化工艺，</w:t>
      </w:r>
      <w:r>
        <w:rPr>
          <w:rFonts w:hint="eastAsia" w:ascii="仿宋_GB2312" w:hAnsi="华文中宋" w:eastAsia="仿宋_GB2312"/>
          <w:sz w:val="32"/>
          <w:szCs w:val="32"/>
        </w:rPr>
        <w:t>提高铜粗精矿富集比，</w:t>
      </w:r>
      <w:r>
        <w:rPr>
          <w:rFonts w:hint="eastAsia" w:ascii="仿宋_GB2312" w:hAnsi="华文中宋" w:eastAsia="仿宋_GB2312"/>
          <w:sz w:val="32"/>
          <w:szCs w:val="32"/>
          <w:lang w:eastAsia="zh-CN"/>
        </w:rPr>
        <w:t>同时让</w:t>
      </w:r>
      <w:r>
        <w:rPr>
          <w:rFonts w:hint="eastAsia" w:ascii="仿宋_GB2312" w:hAnsi="华文中宋" w:eastAsia="仿宋_GB2312"/>
          <w:sz w:val="32"/>
          <w:szCs w:val="32"/>
        </w:rPr>
        <w:t>操作人员易于调节各工艺参数，</w:t>
      </w:r>
      <w:r>
        <w:rPr>
          <w:rFonts w:hint="eastAsia" w:ascii="仿宋_GB2312" w:hAnsi="华文中宋" w:eastAsia="仿宋_GB2312"/>
          <w:sz w:val="32"/>
          <w:szCs w:val="32"/>
          <w:lang w:eastAsia="zh-CN"/>
        </w:rPr>
        <w:t>进而</w:t>
      </w:r>
      <w:r>
        <w:rPr>
          <w:rFonts w:hint="eastAsia" w:ascii="仿宋_GB2312" w:hAnsi="华文中宋" w:eastAsia="仿宋_GB2312"/>
          <w:sz w:val="32"/>
          <w:szCs w:val="32"/>
        </w:rPr>
        <w:t>提升铜精矿产品质量，为铜冶炼产业提供优质的冶炼原材料</w:t>
      </w:r>
      <w:r>
        <w:rPr>
          <w:rFonts w:hint="eastAsia" w:ascii="仿宋_GB2312" w:hAnsi="华文中宋" w:eastAsia="仿宋_GB2312"/>
          <w:sz w:val="32"/>
          <w:szCs w:val="32"/>
          <w:lang w:eastAsia="zh-CN"/>
        </w:rPr>
        <w:t>。</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（二）</w:t>
      </w:r>
      <w:r>
        <w:rPr>
          <w:rFonts w:hint="eastAsia" w:ascii="仿宋_GB2312" w:hAnsi="华文中宋" w:eastAsia="仿宋_GB2312"/>
          <w:b/>
          <w:sz w:val="32"/>
          <w:szCs w:val="32"/>
          <w:lang w:eastAsia="zh-CN"/>
        </w:rPr>
        <w:t>发展</w:t>
      </w:r>
      <w:r>
        <w:rPr>
          <w:rFonts w:hint="eastAsia" w:ascii="仿宋_GB2312" w:hAnsi="华文中宋" w:eastAsia="仿宋_GB2312"/>
          <w:b/>
          <w:sz w:val="32"/>
          <w:szCs w:val="32"/>
        </w:rPr>
        <w:t>过程中遇到</w:t>
      </w:r>
      <w:r>
        <w:rPr>
          <w:rFonts w:hint="eastAsia" w:ascii="仿宋_GB2312" w:hAnsi="华文中宋" w:eastAsia="仿宋_GB2312"/>
          <w:b/>
          <w:sz w:val="32"/>
          <w:szCs w:val="32"/>
          <w:lang w:eastAsia="zh-CN"/>
        </w:rPr>
        <w:t>经济和环境等</w:t>
      </w:r>
      <w:r>
        <w:rPr>
          <w:rFonts w:hint="eastAsia" w:ascii="仿宋_GB2312" w:hAnsi="华文中宋" w:eastAsia="仿宋_GB2312"/>
          <w:b/>
          <w:sz w:val="32"/>
          <w:szCs w:val="32"/>
        </w:rPr>
        <w:t>问题</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拉拉公司1500t/d浮选系统设备老旧，能耗高,“泡冒滴漏”严重，选矿回收率不理想，造成金属损失。</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（三）</w:t>
      </w:r>
      <w:r>
        <w:rPr>
          <w:rFonts w:hint="eastAsia" w:ascii="仿宋_GB2312" w:hAnsi="华文中宋" w:eastAsia="仿宋_GB2312"/>
          <w:b/>
          <w:sz w:val="32"/>
          <w:szCs w:val="32"/>
          <w:lang w:eastAsia="zh-CN"/>
        </w:rPr>
        <w:t>企业自身发展的需求</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为了有效解决</w:t>
      </w:r>
      <w:r>
        <w:rPr>
          <w:rFonts w:hint="eastAsia" w:ascii="仿宋_GB2312" w:hAnsi="华文中宋" w:eastAsia="仿宋_GB2312"/>
          <w:sz w:val="32"/>
          <w:szCs w:val="32"/>
          <w:lang w:eastAsia="zh-CN"/>
        </w:rPr>
        <w:t>企业</w:t>
      </w:r>
      <w:r>
        <w:rPr>
          <w:rFonts w:hint="eastAsia" w:ascii="仿宋_GB2312" w:hAnsi="华文中宋" w:eastAsia="仿宋_GB2312"/>
          <w:sz w:val="32"/>
          <w:szCs w:val="32"/>
        </w:rPr>
        <w:t>人力资源紧张，实现集约化生产，同时达到降本增效的目的，实现资源有效利用。</w:t>
      </w:r>
    </w:p>
    <w:p>
      <w:pPr>
        <w:ind w:firstLine="640" w:firstLineChars="200"/>
        <w:rPr>
          <w:rFonts w:ascii="黑体" w:hAnsi="黑体" w:eastAsia="黑体"/>
          <w:sz w:val="32"/>
          <w:szCs w:val="32"/>
        </w:rPr>
      </w:pPr>
      <w:r>
        <w:rPr>
          <w:rFonts w:hint="eastAsia" w:ascii="黑体" w:hAnsi="黑体" w:eastAsia="黑体"/>
          <w:sz w:val="32"/>
          <w:szCs w:val="32"/>
        </w:rPr>
        <w:t>三、解决方案</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（一）优化工作流程</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1、对5000t/d浮选流程进行设计计算及可行性论证</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本项目系统的研究了当前3500t/d与1500t/d选矿浮选系统的入选浓度、矿浆流量、药剂种类、浮选时间等。研究结果表明，3500t/d与1500t/d选矿浮选系统的入选浓度相近，基本保持在37%至43%之间，药剂添加种类一致，具备合并浮选的条件。根据测算结果，停用1500t/d浮选系统利用3500t/d系统闲置的铜钴混合粗选、精选、分离作业的浮选设备进行改造，可满足设计要求，铜钼混合粗选流程由8台16立方浮选机改为12台，铜钼混合扫选流程由7台16立方浮选机改为9台，铜钼混合精选由15台4立方浮选机改为23台。铜钼分离由5台4立方浮选机改为7台。</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2.开展流程阶段改造阶段调试</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利用现有1500t/d选矿生产系统的磨矿处理能力，将其磨矿产品搅拌混匀后，利用1500吨生产系统渣浆泵输送至φ3米搅拌桶，搅拌加药后进入5000t/d浮选作业系统中进行选别。在保证生产指标稳定的前提下逐步增大处理量，验证1500t/d磨矿产品输送的可行性、稳定性及5000t/d浮选系统的承受能力，对改造过后的流程开展全流程考察及选矿药剂试验，摸清改造后各个浮选作业的金属回收情况、品位富集情况、作业浓度等工艺要点。</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3.研究抑制剂用量对铜钼分离效果的影响</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研究表明，铜钼分离常用工艺为抑铜浮钼工艺，,其关键是使铜矿物表面的捕收剂疏水物质解吸，从疏水变为亲水，在铜钼分离过程中保持亲水性。硫化铜矿是在以黄药为捕收剂时可浮性最好的矿物之一，需要大量的抑制剂才能将它抑制</w:t>
      </w:r>
      <w:r>
        <w:rPr>
          <w:rFonts w:hint="eastAsia" w:ascii="仿宋_GB2312" w:hAnsi="华文中宋" w:eastAsia="仿宋_GB2312"/>
          <w:sz w:val="32"/>
          <w:szCs w:val="32"/>
          <w:lang w:eastAsia="zh-CN"/>
        </w:rPr>
        <w:t>，</w:t>
      </w:r>
      <w:r>
        <w:rPr>
          <w:rFonts w:hint="eastAsia" w:ascii="仿宋_GB2312" w:hAnsi="华文中宋" w:eastAsia="仿宋_GB2312"/>
          <w:sz w:val="32"/>
          <w:szCs w:val="32"/>
        </w:rPr>
        <w:t>抑制剂的费用约占选钼成本80％～90％</w:t>
      </w:r>
      <w:r>
        <w:rPr>
          <w:rFonts w:hint="eastAsia" w:ascii="仿宋_GB2312" w:hAnsi="华文中宋" w:eastAsia="仿宋_GB2312"/>
          <w:sz w:val="32"/>
          <w:szCs w:val="32"/>
          <w:lang w:eastAsia="zh-CN"/>
        </w:rPr>
        <w:t>。</w:t>
      </w:r>
      <w:r>
        <w:rPr>
          <w:rFonts w:hint="eastAsia" w:ascii="仿宋_GB2312" w:hAnsi="华文中宋" w:eastAsia="仿宋_GB2312"/>
          <w:sz w:val="32"/>
          <w:szCs w:val="32"/>
        </w:rPr>
        <w:t>针对拉拉公司矿石性质，开展试验研究，确定最佳抑制剂用量为30 kg</w:t>
      </w:r>
      <w:r>
        <w:rPr>
          <w:rFonts w:hint="eastAsia" w:ascii="宋体" w:hAnsi="宋体" w:cs="宋体"/>
          <w:sz w:val="32"/>
          <w:szCs w:val="32"/>
        </w:rPr>
        <w:t>•</w:t>
      </w:r>
      <w:r>
        <w:rPr>
          <w:rFonts w:hint="eastAsia" w:ascii="仿宋_GB2312" w:hAnsi="华文中宋" w:eastAsia="仿宋_GB2312"/>
          <w:sz w:val="32"/>
          <w:szCs w:val="32"/>
        </w:rPr>
        <w:t>t。在保证铜钼分离效果最佳的同时，降低药剂成本。</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4. 研究浮选机搅拌能力对铜钼分离效果的影响</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通过在铜钼分离作业区加装变频器，将浮选机转速控制在1100r/min,降低搅拌能力及充气量，泡沫层厚度可控，避免了泡沫发粘的情况，进一步提升铜钼分离效果，钼在铜精矿中的损失率可由原来的10%降低至6%以下。</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（二）采用新标准、新方法、新工具</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1、用新型高效起泡剂替代传统起泡剂</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研究表明</w:t>
      </w:r>
      <w:r>
        <w:rPr>
          <w:rFonts w:hint="eastAsia" w:ascii="仿宋_GB2312" w:hAnsi="华文中宋" w:eastAsia="仿宋_GB2312"/>
          <w:sz w:val="32"/>
          <w:szCs w:val="32"/>
          <w:lang w:eastAsia="zh-CN"/>
        </w:rPr>
        <w:t>，</w:t>
      </w:r>
      <w:r>
        <w:rPr>
          <w:rFonts w:hint="eastAsia" w:ascii="仿宋_GB2312" w:hAnsi="华文中宋" w:eastAsia="仿宋_GB2312"/>
          <w:sz w:val="32"/>
          <w:szCs w:val="32"/>
        </w:rPr>
        <w:t>起泡剂的起泡性能与碳链长度有很大关系，碳链越长，对溶液的表面张力的降低越多，同时形成的表面膜强度也越大，泡沫越稳定。采用孚锐特长碳链起泡剂，泡沫层稳定，有利于铜钼矿物的回收。其中铜矿物回收率提高0.4%，钼矿物回收率提高3.3%。</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2、与晨兴公司合作开展MLA流程查定</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 xml:space="preserve">应用高精度矿物解离分析技术（MLA）对凉山矿业拉拉铜矿选厂选矿工艺流程原矿、精矿、尾矿及中间产品共19件样品行了研究，系统查明了各样品的工艺矿物学性质，对全流程和主要作业环节从元素平衡、粒度平衡、解离度平衡三个方面进行了全面分析。         </w:t>
      </w:r>
    </w:p>
    <w:p>
      <w:pPr>
        <w:ind w:firstLine="643" w:firstLineChars="200"/>
        <w:rPr>
          <w:rFonts w:ascii="仿宋_GB2312" w:hAnsi="华文中宋" w:eastAsia="仿宋_GB2312"/>
          <w:b/>
          <w:sz w:val="32"/>
          <w:szCs w:val="32"/>
        </w:rPr>
      </w:pPr>
      <w:r>
        <w:rPr>
          <w:rFonts w:hint="eastAsia" w:ascii="仿宋_GB2312" w:hAnsi="华文中宋" w:eastAsia="仿宋_GB2312"/>
          <w:b/>
          <w:sz w:val="32"/>
          <w:szCs w:val="32"/>
        </w:rPr>
        <w:t>3．使用新型高效节能电机代替传统标准型电机</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高效节能电机采用新型电机设计、通过降低电磁能、热能和机械损耗，提高输出功率，与标准电机相比，通常情况下效率可提高4%。拉拉公司把现使用的65台浮选设备电机全部更换为新型高效节能电机。</w:t>
      </w:r>
    </w:p>
    <w:p>
      <w:pPr>
        <w:numPr>
          <w:ilvl w:val="0"/>
          <w:numId w:val="1"/>
        </w:numPr>
        <w:ind w:firstLine="640" w:firstLineChars="200"/>
        <w:rPr>
          <w:rFonts w:hint="eastAsia" w:ascii="黑体" w:hAnsi="黑体" w:eastAsia="黑体"/>
          <w:sz w:val="32"/>
          <w:szCs w:val="32"/>
        </w:rPr>
      </w:pPr>
      <w:r>
        <w:rPr>
          <w:rFonts w:hint="eastAsia" w:ascii="黑体" w:hAnsi="黑体" w:eastAsia="黑体"/>
          <w:sz w:val="32"/>
          <w:szCs w:val="32"/>
        </w:rPr>
        <w:t>履责成效</w:t>
      </w:r>
    </w:p>
    <w:p>
      <w:pPr>
        <w:numPr>
          <w:numId w:val="0"/>
        </w:numPr>
        <w:ind w:firstLine="640" w:firstLineChars="200"/>
        <w:rPr>
          <w:rFonts w:hint="eastAsia" w:ascii="黑体" w:hAnsi="黑体" w:eastAsia="黑体"/>
          <w:sz w:val="32"/>
          <w:szCs w:val="32"/>
        </w:rPr>
      </w:pPr>
      <w:r>
        <w:rPr>
          <w:rFonts w:hint="eastAsia" w:ascii="仿宋_GB2312" w:hAnsi="华文中宋" w:eastAsia="仿宋_GB2312"/>
          <w:sz w:val="32"/>
          <w:szCs w:val="32"/>
        </w:rPr>
        <w:t>通过项目实施，解决了生产实际中存在的困难和问题，淘汰了一批维修保养难、能耗高的设备，提升了项目组工程技术人员发现问题、分析问题和解决问题的能力，摸清了铜钼分离浮选的最佳工艺条件。</w:t>
      </w:r>
    </w:p>
    <w:p>
      <w:pPr>
        <w:ind w:firstLine="643" w:firstLineChars="200"/>
        <w:rPr>
          <w:rFonts w:hint="eastAsia" w:ascii="仿宋_GB2312" w:hAnsi="华文中宋" w:eastAsia="仿宋_GB2312"/>
          <w:b/>
          <w:sz w:val="32"/>
          <w:szCs w:val="32"/>
          <w:lang w:eastAsia="zh-CN"/>
        </w:rPr>
      </w:pPr>
      <w:r>
        <w:rPr>
          <w:rFonts w:hint="eastAsia" w:ascii="仿宋_GB2312" w:hAnsi="华文中宋" w:eastAsia="仿宋_GB2312"/>
          <w:b/>
          <w:sz w:val="32"/>
          <w:szCs w:val="32"/>
        </w:rPr>
        <w:t>（一）</w:t>
      </w:r>
      <w:r>
        <w:rPr>
          <w:rFonts w:hint="eastAsia" w:ascii="仿宋_GB2312" w:hAnsi="华文中宋" w:eastAsia="仿宋_GB2312"/>
          <w:b/>
          <w:sz w:val="32"/>
          <w:szCs w:val="32"/>
          <w:lang w:eastAsia="zh-CN"/>
        </w:rPr>
        <w:t>技术</w:t>
      </w:r>
      <w:r>
        <w:rPr>
          <w:rFonts w:hint="eastAsia" w:ascii="仿宋_GB2312" w:hAnsi="华文中宋" w:eastAsia="仿宋_GB2312"/>
          <w:b/>
          <w:sz w:val="32"/>
          <w:szCs w:val="32"/>
        </w:rPr>
        <w:t>指标</w:t>
      </w:r>
      <w:r>
        <w:rPr>
          <w:rFonts w:hint="eastAsia" w:ascii="仿宋_GB2312" w:hAnsi="华文中宋" w:eastAsia="仿宋_GB2312"/>
          <w:b/>
          <w:sz w:val="32"/>
          <w:szCs w:val="32"/>
          <w:lang w:eastAsia="zh-CN"/>
        </w:rPr>
        <w:t>得到优化</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2019年1-12月拉拉公司选矿车间完成一段磨矿细度（-0.074mm含量）累计值为57.14%，高于目标值2.14%，铜溢流细度（-0.074mm含量）累计值为92.42%，高于目标值2.42%，中矿产率波动范围平均值在12—14%，下降2%流程稳定性增强。铜精矿含铜品位累计完成24.612%，高于目标值0.612%，铜选矿回收率累计完成92.461%，高于目标值0.461%。与2018年相比多回收铜金属66吨。</w:t>
      </w:r>
    </w:p>
    <w:p>
      <w:pPr>
        <w:numPr>
          <w:ilvl w:val="0"/>
          <w:numId w:val="2"/>
        </w:numPr>
        <w:ind w:firstLine="643" w:firstLineChars="200"/>
        <w:rPr>
          <w:rFonts w:hint="eastAsia" w:ascii="仿宋_GB2312" w:hAnsi="华文中宋" w:eastAsia="仿宋_GB2312"/>
          <w:b/>
          <w:sz w:val="32"/>
          <w:szCs w:val="32"/>
          <w:lang w:eastAsia="zh-CN"/>
        </w:rPr>
      </w:pPr>
      <w:r>
        <w:rPr>
          <w:rFonts w:hint="eastAsia" w:ascii="仿宋_GB2312" w:hAnsi="华文中宋" w:eastAsia="仿宋_GB2312"/>
          <w:b/>
          <w:sz w:val="32"/>
          <w:szCs w:val="32"/>
        </w:rPr>
        <w:t>经济效益</w:t>
      </w:r>
      <w:r>
        <w:rPr>
          <w:rFonts w:hint="eastAsia" w:ascii="仿宋_GB2312" w:hAnsi="华文中宋" w:eastAsia="仿宋_GB2312"/>
          <w:b/>
          <w:sz w:val="32"/>
          <w:szCs w:val="32"/>
          <w:lang w:eastAsia="zh-CN"/>
        </w:rPr>
        <w:t>得到提升</w:t>
      </w:r>
    </w:p>
    <w:p>
      <w:pPr>
        <w:numPr>
          <w:numId w:val="0"/>
        </w:numPr>
        <w:ind w:firstLine="640" w:firstLineChars="200"/>
        <w:rPr>
          <w:rFonts w:ascii="仿宋_GB2312" w:hAnsi="华文中宋" w:eastAsia="仿宋_GB2312"/>
          <w:sz w:val="32"/>
          <w:szCs w:val="32"/>
        </w:rPr>
      </w:pPr>
      <w:r>
        <w:rPr>
          <w:rFonts w:hint="eastAsia" w:ascii="仿宋_GB2312" w:hAnsi="华文中宋" w:eastAsia="仿宋_GB2312"/>
          <w:sz w:val="32"/>
          <w:szCs w:val="32"/>
        </w:rPr>
        <w:t>2019年本项目共创效778万元。</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项目完成后，年节约药剂成本90万元左右，减少了尾矿水中的药剂含量，经济及环保效益明显。铜精矿含铜品位</w:t>
      </w:r>
      <w:r>
        <w:rPr>
          <w:rFonts w:hint="eastAsia" w:ascii="仿宋_GB2312" w:hAnsi="华文中宋" w:eastAsia="仿宋_GB2312"/>
          <w:sz w:val="32"/>
          <w:szCs w:val="32"/>
          <w:lang w:eastAsia="zh-CN"/>
        </w:rPr>
        <w:t>提升和</w:t>
      </w:r>
      <w:r>
        <w:rPr>
          <w:rFonts w:hint="eastAsia" w:ascii="仿宋_GB2312" w:hAnsi="华文中宋" w:eastAsia="仿宋_GB2312"/>
          <w:sz w:val="32"/>
          <w:szCs w:val="32"/>
        </w:rPr>
        <w:t>铜金属量回收，增加经济效益310万余元。通过停用1500t/d浮选系统，同时采用新型高效节能电机替换原有3500t/d浮选系统电机，实现降低装机功率635.55kw</w:t>
      </w:r>
      <w:r>
        <w:rPr>
          <w:rFonts w:hint="eastAsia" w:ascii="仿宋_GB2312" w:hAnsi="华文中宋" w:eastAsia="仿宋_GB2312"/>
          <w:sz w:val="32"/>
          <w:szCs w:val="32"/>
          <w:lang w:eastAsia="zh-CN"/>
        </w:rPr>
        <w:t>，</w:t>
      </w:r>
      <w:r>
        <w:rPr>
          <w:rFonts w:hint="eastAsia" w:ascii="仿宋_GB2312" w:hAnsi="华文中宋" w:eastAsia="仿宋_GB2312"/>
          <w:sz w:val="32"/>
          <w:szCs w:val="32"/>
        </w:rPr>
        <w:t>每年可节约电耗为503万千瓦时</w:t>
      </w:r>
      <w:r>
        <w:rPr>
          <w:rFonts w:hint="eastAsia" w:ascii="仿宋_GB2312" w:hAnsi="华文中宋" w:eastAsia="仿宋_GB2312"/>
          <w:sz w:val="32"/>
          <w:szCs w:val="32"/>
          <w:lang w:eastAsia="zh-CN"/>
        </w:rPr>
        <w:t>。</w:t>
      </w:r>
      <w:r>
        <w:rPr>
          <w:rFonts w:hint="eastAsia" w:ascii="仿宋_GB2312" w:hAnsi="华文中宋" w:eastAsia="仿宋_GB2312"/>
          <w:sz w:val="32"/>
          <w:szCs w:val="32"/>
        </w:rPr>
        <w:t>选矿生产成本降低250万元。原有的1500t/d浮选作业系统每班次共有操作人员3人次，带班班组长1人次，项目实施后，每班减少4人次，浮选作业生产系统可适当减少操作人员16人次，全年节约人工成本128万元左右。</w:t>
      </w:r>
    </w:p>
    <w:p>
      <w:pPr>
        <w:ind w:firstLine="643" w:firstLineChars="200"/>
        <w:rPr>
          <w:rFonts w:hint="eastAsia" w:ascii="仿宋_GB2312" w:hAnsi="华文中宋" w:eastAsia="仿宋_GB2312"/>
          <w:b/>
          <w:sz w:val="32"/>
          <w:szCs w:val="32"/>
          <w:lang w:eastAsia="zh-CN"/>
        </w:rPr>
      </w:pPr>
      <w:r>
        <w:rPr>
          <w:rFonts w:hint="eastAsia" w:ascii="仿宋_GB2312" w:hAnsi="华文中宋" w:eastAsia="仿宋_GB2312"/>
          <w:b/>
          <w:sz w:val="32"/>
          <w:szCs w:val="32"/>
        </w:rPr>
        <w:t>（三）环境和社会效益</w:t>
      </w:r>
      <w:r>
        <w:rPr>
          <w:rFonts w:hint="eastAsia" w:ascii="仿宋_GB2312" w:hAnsi="华文中宋" w:eastAsia="仿宋_GB2312"/>
          <w:b/>
          <w:sz w:val="32"/>
          <w:szCs w:val="32"/>
          <w:lang w:eastAsia="zh-CN"/>
        </w:rPr>
        <w:t>得到改善</w:t>
      </w:r>
    </w:p>
    <w:p>
      <w:pPr>
        <w:ind w:firstLine="640" w:firstLineChars="200"/>
        <w:rPr>
          <w:rFonts w:ascii="仿宋_GB2312" w:hAnsi="华文中宋" w:eastAsia="仿宋_GB2312"/>
          <w:sz w:val="32"/>
          <w:szCs w:val="32"/>
        </w:rPr>
      </w:pPr>
      <w:r>
        <w:rPr>
          <w:rFonts w:hint="eastAsia" w:ascii="仿宋_GB2312" w:hAnsi="华文中宋" w:eastAsia="仿宋_GB2312"/>
          <w:sz w:val="32"/>
          <w:szCs w:val="32"/>
        </w:rPr>
        <w:t>“铜钼混合浮选流程优化关键技术研究与应用”列为凉山矿业十三五重点项目，本项目的成功实施，彻底解决了拉拉公司1500t/d浮选系统设备老旧，能耗高,“泡冒滴漏”严重的难题，与2018年相比2019年全年轻柴油降低7.18g/t，起泡剂降低7.62g/t，丁基黄药降低3.46g/t，硫化钠降低131.11g/t，石灰降低307.84g/t，降低了尾矿中药剂含量，环境及社会效益明显，符合我国矿山企业绿色可持续发展的需要，对产业技术进步有重要意义。形成《铜钼混合浮选关键技术研发与应用》研究报告，撰写相关论文1篇，申报2件专利并受理，专利名为《一种应用于铜钼硫化矿分离浮选中的浮选调整剂及其应用方法》《一种铜钼分离浮选系统》。“铜钼混合浮选流程优化关键技术研发与应用”成果获云铜股份2019年度科学技术进步奖三等奖。</w:t>
      </w:r>
    </w:p>
    <w:p>
      <w:pPr>
        <w:ind w:firstLine="640" w:firstLineChars="200"/>
        <w:rPr>
          <w:rFonts w:ascii="黑体" w:hAnsi="黑体" w:eastAsia="黑体"/>
          <w:sz w:val="32"/>
          <w:szCs w:val="32"/>
        </w:rPr>
      </w:pPr>
      <w:r>
        <w:rPr>
          <w:rFonts w:hint="eastAsia" w:ascii="黑体" w:hAnsi="黑体" w:eastAsia="黑体"/>
          <w:sz w:val="32"/>
          <w:szCs w:val="32"/>
        </w:rPr>
        <w:t>五、展望</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下一步，拉拉铜矿将进一步开展“含铜低含钴高”的井下矿石试验研究，进一步提高资源利用率，为技术推广应用提供支撑和借鉴。</w:t>
      </w:r>
    </w:p>
    <w:p>
      <w:pPr>
        <w:ind w:firstLine="640" w:firstLineChars="200"/>
        <w:rPr>
          <w:rFonts w:hint="eastAsia" w:ascii="仿宋_GB2312" w:hAnsi="华文中宋" w:eastAsia="仿宋_GB2312"/>
          <w:sz w:val="32"/>
          <w:szCs w:val="32"/>
          <w:lang w:eastAsia="zh-CN"/>
        </w:rPr>
      </w:pPr>
    </w:p>
    <w:p>
      <w:pPr>
        <w:ind w:firstLine="640" w:firstLineChars="200"/>
        <w:jc w:val="right"/>
        <w:rPr>
          <w:rFonts w:ascii="华文中宋" w:hAnsi="华文中宋" w:eastAsia="华文中宋"/>
        </w:rPr>
      </w:pPr>
      <w:r>
        <w:rPr>
          <w:rFonts w:hint="eastAsia" w:ascii="仿宋_GB2312" w:hAnsi="华文中宋" w:eastAsia="仿宋_GB2312"/>
          <w:sz w:val="32"/>
          <w:szCs w:val="32"/>
          <w:lang w:eastAsia="zh-CN"/>
        </w:rPr>
        <w:t>撰稿</w:t>
      </w:r>
      <w:r>
        <w:rPr>
          <w:rFonts w:hint="eastAsia" w:ascii="仿宋_GB2312" w:hAnsi="华文中宋" w:eastAsia="仿宋_GB2312"/>
          <w:sz w:val="32"/>
          <w:szCs w:val="32"/>
          <w:lang w:val="en-US" w:eastAsia="zh-CN"/>
        </w:rPr>
        <w:t>/</w:t>
      </w:r>
      <w:r>
        <w:rPr>
          <w:rFonts w:hint="eastAsia" w:ascii="仿宋_GB2312" w:hAnsi="华文中宋" w:eastAsia="仿宋_GB2312"/>
          <w:sz w:val="32"/>
          <w:szCs w:val="32"/>
        </w:rPr>
        <w:t>吴臣星</w:t>
      </w:r>
      <w:bookmarkStart w:id="0" w:name="_GoBack"/>
      <w:bookmarkEnd w:id="0"/>
    </w:p>
    <w:sectPr>
      <w:footerReference r:id="rId3" w:type="default"/>
      <w:footerReference r:id="rId4" w:type="even"/>
      <w:pgSz w:w="11906" w:h="16838"/>
      <w:pgMar w:top="1531" w:right="1985" w:bottom="1418" w:left="1985" w:header="851" w:footer="1389"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20F0302020204030204"/>
    <w:charset w:val="00"/>
    <w:family w:val="swiss"/>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宋体" w:hAnsi="宋体"/>
        <w:sz w:val="28"/>
        <w:szCs w:val="28"/>
      </w:rPr>
    </w:pPr>
    <w:r>
      <w:rPr>
        <w:rStyle w:val="10"/>
        <w:rFonts w:hint="eastAsia" w:ascii="宋体" w:hAnsi="宋体"/>
        <w:sz w:val="28"/>
        <w:szCs w:val="28"/>
      </w:rPr>
      <w:t xml:space="preserve">— </w:t>
    </w: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1</w:t>
    </w:r>
    <w:r>
      <w:rPr>
        <w:rStyle w:val="10"/>
        <w:rFonts w:ascii="宋体" w:hAnsi="宋体"/>
        <w:sz w:val="28"/>
        <w:szCs w:val="28"/>
      </w:rPr>
      <w:fldChar w:fldCharType="end"/>
    </w:r>
    <w:r>
      <w:rPr>
        <w:rStyle w:val="10"/>
        <w:rFonts w:hint="eastAsia" w:ascii="宋体" w:hAnsi="宋体"/>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5998C5"/>
    <w:multiLevelType w:val="singleLevel"/>
    <w:tmpl w:val="8E5998C5"/>
    <w:lvl w:ilvl="0" w:tentative="0">
      <w:start w:val="2"/>
      <w:numFmt w:val="chineseCounting"/>
      <w:suff w:val="nothing"/>
      <w:lvlText w:val="（%1）"/>
      <w:lvlJc w:val="left"/>
      <w:rPr>
        <w:rFonts w:hint="eastAsia"/>
      </w:rPr>
    </w:lvl>
  </w:abstractNum>
  <w:abstractNum w:abstractNumId="1">
    <w:nsid w:val="A1626A71"/>
    <w:multiLevelType w:val="singleLevel"/>
    <w:tmpl w:val="A1626A71"/>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BF0"/>
    <w:rsid w:val="0003536C"/>
    <w:rsid w:val="00040632"/>
    <w:rsid w:val="000618A1"/>
    <w:rsid w:val="000D42B7"/>
    <w:rsid w:val="00112DBD"/>
    <w:rsid w:val="00156D1C"/>
    <w:rsid w:val="001663D9"/>
    <w:rsid w:val="00194391"/>
    <w:rsid w:val="001D52E3"/>
    <w:rsid w:val="001F2C31"/>
    <w:rsid w:val="0021307A"/>
    <w:rsid w:val="0024693C"/>
    <w:rsid w:val="002767CE"/>
    <w:rsid w:val="00294868"/>
    <w:rsid w:val="002A0B86"/>
    <w:rsid w:val="002B0A34"/>
    <w:rsid w:val="002F2876"/>
    <w:rsid w:val="00350455"/>
    <w:rsid w:val="003516B9"/>
    <w:rsid w:val="00377D8C"/>
    <w:rsid w:val="003B23DF"/>
    <w:rsid w:val="003E03D2"/>
    <w:rsid w:val="00423B3F"/>
    <w:rsid w:val="0046779F"/>
    <w:rsid w:val="004C7707"/>
    <w:rsid w:val="004D4BE2"/>
    <w:rsid w:val="004F3CA8"/>
    <w:rsid w:val="00544D41"/>
    <w:rsid w:val="005834C6"/>
    <w:rsid w:val="00593961"/>
    <w:rsid w:val="005C17A0"/>
    <w:rsid w:val="005E00B2"/>
    <w:rsid w:val="005E080C"/>
    <w:rsid w:val="00600D89"/>
    <w:rsid w:val="00612A27"/>
    <w:rsid w:val="00661A15"/>
    <w:rsid w:val="00695D1C"/>
    <w:rsid w:val="006A5D36"/>
    <w:rsid w:val="007005DD"/>
    <w:rsid w:val="00746154"/>
    <w:rsid w:val="00757BF0"/>
    <w:rsid w:val="00760B3B"/>
    <w:rsid w:val="007863AA"/>
    <w:rsid w:val="007A2EE8"/>
    <w:rsid w:val="007B4DFF"/>
    <w:rsid w:val="007C1D57"/>
    <w:rsid w:val="008B40A1"/>
    <w:rsid w:val="008B666A"/>
    <w:rsid w:val="008B749A"/>
    <w:rsid w:val="008D0289"/>
    <w:rsid w:val="008F3629"/>
    <w:rsid w:val="008F5713"/>
    <w:rsid w:val="00911529"/>
    <w:rsid w:val="0091773F"/>
    <w:rsid w:val="009510E8"/>
    <w:rsid w:val="00963122"/>
    <w:rsid w:val="0097232A"/>
    <w:rsid w:val="009906C1"/>
    <w:rsid w:val="009A0B07"/>
    <w:rsid w:val="009D757B"/>
    <w:rsid w:val="009E6BE5"/>
    <w:rsid w:val="009E7FF4"/>
    <w:rsid w:val="00A36704"/>
    <w:rsid w:val="00AA3347"/>
    <w:rsid w:val="00AB1DFB"/>
    <w:rsid w:val="00AE28D3"/>
    <w:rsid w:val="00AF5E64"/>
    <w:rsid w:val="00B12A1C"/>
    <w:rsid w:val="00B25EBB"/>
    <w:rsid w:val="00B40934"/>
    <w:rsid w:val="00B517D4"/>
    <w:rsid w:val="00BB075E"/>
    <w:rsid w:val="00C3045B"/>
    <w:rsid w:val="00C4065C"/>
    <w:rsid w:val="00C62067"/>
    <w:rsid w:val="00CC0777"/>
    <w:rsid w:val="00CD3C13"/>
    <w:rsid w:val="00CD5D47"/>
    <w:rsid w:val="00CF3C20"/>
    <w:rsid w:val="00CF7332"/>
    <w:rsid w:val="00D24038"/>
    <w:rsid w:val="00D45B46"/>
    <w:rsid w:val="00D558F9"/>
    <w:rsid w:val="00D82515"/>
    <w:rsid w:val="00D876D3"/>
    <w:rsid w:val="00DD1679"/>
    <w:rsid w:val="00DE37CF"/>
    <w:rsid w:val="00E235C2"/>
    <w:rsid w:val="00ED6292"/>
    <w:rsid w:val="00EE67E3"/>
    <w:rsid w:val="00EE6D65"/>
    <w:rsid w:val="00F01A47"/>
    <w:rsid w:val="00F0701D"/>
    <w:rsid w:val="00F358E7"/>
    <w:rsid w:val="00F67E89"/>
    <w:rsid w:val="00F70D81"/>
    <w:rsid w:val="00F92ECC"/>
    <w:rsid w:val="00FA57F1"/>
    <w:rsid w:val="037968AE"/>
    <w:rsid w:val="04DD7CFC"/>
    <w:rsid w:val="0C8A1EF3"/>
    <w:rsid w:val="10A8074C"/>
    <w:rsid w:val="19F93D70"/>
    <w:rsid w:val="20FE756B"/>
    <w:rsid w:val="21406397"/>
    <w:rsid w:val="26A66AF8"/>
    <w:rsid w:val="32DA5FCD"/>
    <w:rsid w:val="38BF580E"/>
    <w:rsid w:val="395564F4"/>
    <w:rsid w:val="43E61B81"/>
    <w:rsid w:val="444E3947"/>
    <w:rsid w:val="4AC23C03"/>
    <w:rsid w:val="5F944FD2"/>
    <w:rsid w:val="614F5658"/>
    <w:rsid w:val="62F86135"/>
    <w:rsid w:val="642632B8"/>
    <w:rsid w:val="65831671"/>
    <w:rsid w:val="70AB057D"/>
    <w:rsid w:val="78122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qFormat/>
    <w:uiPriority w:val="11"/>
    <w:pPr>
      <w:spacing w:before="240" w:after="60" w:line="312" w:lineRule="auto"/>
      <w:jc w:val="center"/>
      <w:outlineLvl w:val="1"/>
    </w:pPr>
    <w:rPr>
      <w:rFonts w:ascii="Calibri Light" w:hAnsi="Calibri Light"/>
      <w:b/>
      <w:bCs/>
      <w:kern w:val="28"/>
      <w:sz w:val="32"/>
      <w:szCs w:val="32"/>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页眉 Char"/>
    <w:basedOn w:val="9"/>
    <w:link w:val="4"/>
    <w:qFormat/>
    <w:uiPriority w:val="99"/>
    <w:rPr>
      <w:sz w:val="18"/>
      <w:szCs w:val="18"/>
    </w:rPr>
  </w:style>
  <w:style w:type="character" w:customStyle="1" w:styleId="12">
    <w:name w:val="页脚 Char"/>
    <w:basedOn w:val="9"/>
    <w:link w:val="3"/>
    <w:qFormat/>
    <w:uiPriority w:val="99"/>
    <w:rPr>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styleId="14">
    <w:name w:val="List Paragraph"/>
    <w:basedOn w:val="1"/>
    <w:qFormat/>
    <w:uiPriority w:val="34"/>
    <w:pPr>
      <w:ind w:firstLine="420" w:firstLineChars="200"/>
    </w:pPr>
  </w:style>
  <w:style w:type="character" w:customStyle="1" w:styleId="15">
    <w:name w:val="批注框文本 Char"/>
    <w:basedOn w:val="9"/>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592</Words>
  <Characters>3378</Characters>
  <Lines>28</Lines>
  <Paragraphs>7</Paragraphs>
  <TotalTime>0</TotalTime>
  <ScaleCrop>false</ScaleCrop>
  <LinksUpToDate>false</LinksUpToDate>
  <CharactersWithSpaces>3963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2020-05-15T08:03:00Z</dcterms:created>
  <dc:creator>普莉娜</dc:creator>
  <cp:lastModifiedBy>木央</cp:lastModifiedBy>
  <cp:lastPrinted>2019-12-23T07:56:00Z</cp:lastPrinted>
  <dcterms:modified xsi:type="dcterms:W3CDTF">2021-07-15T08:40:39Z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